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CCE64">
      <w:pPr>
        <w:ind w:firstLine="2650" w:firstLineChars="600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理论课程教案设计</w:t>
      </w:r>
    </w:p>
    <w:tbl>
      <w:tblPr>
        <w:tblStyle w:val="7"/>
        <w:tblW w:w="86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3320"/>
        <w:gridCol w:w="1453"/>
        <w:gridCol w:w="1242"/>
        <w:gridCol w:w="1357"/>
      </w:tblGrid>
      <w:tr w14:paraId="70CC0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4CF8ACCE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授课科目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3B5C6ECA">
            <w:pPr>
              <w:spacing w:line="360" w:lineRule="auto"/>
              <w:jc w:val="center"/>
              <w:rPr>
                <w:rFonts w:hint="default" w:ascii="宋体" w:hAnsi="宋体" w:cs="宋体"/>
                <w:b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短视频拍摄与剪辑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42720B3C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授课教师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1AF29D3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乔倩倩</w:t>
            </w:r>
          </w:p>
        </w:tc>
      </w:tr>
      <w:tr w14:paraId="06B08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38661D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授课内容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1D34670A"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学会复盘，你才能成为抖音大V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70619722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授课班级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1AEF0C1A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  <w:tr w14:paraId="47382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3AD2E819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授课方法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75A0588B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讲授法、</w:t>
            </w:r>
            <w:r>
              <w:rPr>
                <w:rFonts w:hint="eastAsia" w:ascii="宋体" w:hAnsi="宋体"/>
                <w:sz w:val="24"/>
                <w:szCs w:val="24"/>
              </w:rPr>
              <w:t>案例分析法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02F9711B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课时数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645BB1CF"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*2</w:t>
            </w:r>
          </w:p>
        </w:tc>
      </w:tr>
      <w:tr w14:paraId="20040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5E907B76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教学目标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6C105FF7">
            <w:pPr>
              <w:pStyle w:val="10"/>
              <w:spacing w:line="360" w:lineRule="auto"/>
              <w:ind w:left="0" w:leftChars="0"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1.掌握制作优秀短视频。</w:t>
            </w:r>
          </w:p>
          <w:p w14:paraId="799D0427">
            <w:pPr>
              <w:pStyle w:val="10"/>
              <w:spacing w:line="360" w:lineRule="auto"/>
              <w:ind w:left="0" w:leftChars="0" w:firstLine="240" w:firstLineChars="100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2.掌握什么是复盘。。</w:t>
            </w:r>
          </w:p>
        </w:tc>
      </w:tr>
      <w:tr w14:paraId="754C30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DA5B99A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思政要点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35C22D99">
            <w:pPr>
              <w:spacing w:line="360" w:lineRule="auto"/>
              <w:ind w:firstLine="360" w:firstLineChars="15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作为技工院校的学生，要将自己所学的专业做到熟能生巧，争做“大国工匠”。</w:t>
            </w:r>
          </w:p>
        </w:tc>
      </w:tr>
      <w:tr w14:paraId="17F60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  <w:jc w:val="center"/>
        </w:trPr>
        <w:tc>
          <w:tcPr>
            <w:tcW w:w="1248" w:type="dxa"/>
            <w:vMerge w:val="restart"/>
            <w:tcBorders>
              <w:tl2br w:val="nil"/>
              <w:tr2bl w:val="nil"/>
            </w:tcBorders>
            <w:vAlign w:val="center"/>
          </w:tcPr>
          <w:p w14:paraId="69E152B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重点难点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4D08A947">
            <w:pPr>
              <w:spacing w:line="360" w:lineRule="auto"/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教学重点：</w:t>
            </w:r>
          </w:p>
          <w:p w14:paraId="640C8A2E">
            <w:pPr>
              <w:spacing w:line="360" w:lineRule="auto"/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  <w:lang w:eastAsia="zh-CN"/>
              </w:rPr>
            </w:pPr>
          </w:p>
          <w:p w14:paraId="1C3F0A5C">
            <w:pPr>
              <w:spacing w:line="360" w:lineRule="auto"/>
              <w:ind w:firstLine="480" w:firstLineChars="200"/>
              <w:rPr>
                <w:rFonts w:hint="default" w:ascii="宋体" w:hAnsi="宋体" w:cs="Courier New"/>
                <w:color w:val="333333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学会复盘，你才能成为抖音大V</w:t>
            </w:r>
          </w:p>
        </w:tc>
      </w:tr>
      <w:tr w14:paraId="21E78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  <w:jc w:val="center"/>
        </w:trPr>
        <w:tc>
          <w:tcPr>
            <w:tcW w:w="1248" w:type="dxa"/>
            <w:vMerge w:val="continue"/>
            <w:tcBorders>
              <w:tl2br w:val="nil"/>
              <w:tr2bl w:val="nil"/>
            </w:tcBorders>
            <w:vAlign w:val="center"/>
          </w:tcPr>
          <w:p w14:paraId="39720097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</w:tcPr>
          <w:p w14:paraId="5709560D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7E3067CA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教学难点：</w:t>
            </w:r>
          </w:p>
          <w:p w14:paraId="6E95E2BA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47C746CA">
            <w:pPr>
              <w:spacing w:line="360" w:lineRule="auto"/>
              <w:ind w:firstLine="480" w:firstLineChars="200"/>
              <w:rPr>
                <w:rFonts w:hint="default" w:ascii="宋体" w:hAnsi="宋体" w:cs="Courier New"/>
                <w:color w:val="333333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复盘</w:t>
            </w:r>
          </w:p>
        </w:tc>
      </w:tr>
      <w:tr w14:paraId="67BEF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04A51C83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教学准备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245C0FEE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  <w:p w14:paraId="6B4B60D6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PPT   </w:t>
            </w:r>
          </w:p>
          <w:p w14:paraId="32DFFA8D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</w:tc>
      </w:tr>
      <w:tr w14:paraId="3FA8B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1EB96579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教学内容与环节流程设计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3710E6DF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师生互动</w:t>
            </w:r>
          </w:p>
        </w:tc>
      </w:tr>
      <w:tr w14:paraId="00DFA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2A83597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一、课前准备</w:t>
            </w:r>
          </w:p>
          <w:p w14:paraId="008D12F2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学生自主预习本节课内容</w:t>
            </w:r>
          </w:p>
          <w:p w14:paraId="17C76A98"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新课讲授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</w:p>
          <w:p w14:paraId="09256C60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什么是复盘？</w:t>
            </w:r>
          </w:p>
          <w:p w14:paraId="38656592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144645" cy="2329815"/>
                  <wp:effectExtent l="0" t="0" r="8255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4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E5602">
            <w:pPr>
              <w:spacing w:line="360" w:lineRule="auto"/>
              <w:ind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直白来说，项目复盘，指的是对过去完成的项目所做的一个深度思维演练。以往，我们在做项目总结时，更多的是关注该项目取得了哪些成果，有哪些不足，是以结果为导向的。而复盘不同，一个项目的复盘，除了关注结果之外，更重要的是整个项目过程的重新演练，在这个演练流程中，我们发现问题，分析问题，从而积累欲成功和失败的经验，为接下来的决策和战略提供更具有价值的参考，并得出实际可行的解决方案。</w:t>
            </w:r>
          </w:p>
          <w:p w14:paraId="0DA09559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二、做抖音为什么要做复盘</w:t>
            </w:r>
          </w:p>
          <w:p w14:paraId="16C85C74">
            <w:pPr>
              <w:spacing w:line="360" w:lineRule="auto"/>
              <w:ind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作为一个抖音主播，想要让自己的抖音火，就应该做好管理，当好一个产品经理，把抖音视频作为自己的产品，而自己就是操作这个产品的经理人。</w:t>
            </w:r>
          </w:p>
          <w:p w14:paraId="161AE7DF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三、我们应该怎么进行复盘</w:t>
            </w:r>
          </w:p>
          <w:p w14:paraId="486A54C8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1.回顾目标</w:t>
            </w:r>
          </w:p>
          <w:p w14:paraId="48EEE9EF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复盘开始的第一步，就是回顾复盘事件的目标。这让参与复盘的人心中有数，自己要讨论什么，如何评判。</w:t>
            </w:r>
          </w:p>
          <w:p w14:paraId="366390F9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2.结果对比</w:t>
            </w:r>
          </w:p>
          <w:p w14:paraId="09BA3768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目标是希望达成的，结果是实际做到的，将二者进行对比，找到实际结果和希望目标之间的差别。</w:t>
            </w:r>
          </w:p>
          <w:p w14:paraId="32A91EAF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回顾目标应该至少包含三部分内容：目标是什么（What）；目的是什么（Why）；实现的策略/路线是什么（How）。</w:t>
            </w:r>
          </w:p>
          <w:p w14:paraId="7FA3987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525645" cy="2388870"/>
                  <wp:effectExtent l="0" t="0" r="8255" b="1143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645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8009C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3.叙述过程</w:t>
            </w:r>
          </w:p>
          <w:p w14:paraId="40608DF2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过程叙述的目的是让所有复盘参与人员都知道事件的过程，了解做的事，知道细节，拥有共同的共享知识。这样大家才有共同讨论的基础，不要浪费时间在信息层面。</w:t>
            </w:r>
          </w:p>
          <w:p w14:paraId="28598DC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4.自我剖析</w:t>
            </w:r>
          </w:p>
          <w:p w14:paraId="3B9AD22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自我剖析，就是自己对做过的事情进行反思和分析，看看有哪些问题，有哪些成绩，并试着去找出原因，发现规律。自我剖析是一个自我成长的机会，它能让你自己先给自己打个预防针，这样后面别人给你扎针的时候，你就有了准备，也能够对比。</w:t>
            </w:r>
          </w:p>
          <w:p w14:paraId="0DFE1E4F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四、总结经验，改正不足</w:t>
            </w:r>
          </w:p>
          <w:p w14:paraId="3F83F35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总结规律是复盘最重要的内容，上面所有的步骤都是为了得出一般性的规律，形成符合真相的认识。总结规律得出的结论是否正确，最好的检验当然是时间，但是一旦进入到实践阶段，则说明复盘工作已经结束，它依旧不是复盘当时就能确定的。</w:t>
            </w:r>
          </w:p>
          <w:p w14:paraId="4D01A13C">
            <w:pPr>
              <w:spacing w:line="360" w:lineRule="auto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 w14:paraId="607C3474">
            <w:pPr>
              <w:spacing w:line="360" w:lineRule="auto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三、作业布置：</w:t>
            </w:r>
          </w:p>
          <w:p w14:paraId="2EF37900">
            <w:p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实操练习</w:t>
            </w:r>
          </w:p>
          <w:p w14:paraId="330EB66D">
            <w:pPr>
              <w:spacing w:line="360" w:lineRule="auto"/>
              <w:rPr>
                <w:rFonts w:hint="default"/>
                <w:bCs/>
                <w:sz w:val="24"/>
                <w:szCs w:val="24"/>
                <w:lang w:val="en-US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2C2C6242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2343B37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047673C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2436A608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4C99A855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75261EDC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3AE0F86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06440C47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6FF26E56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  <w:bookmarkStart w:id="0" w:name="_GoBack"/>
            <w:bookmarkEnd w:id="0"/>
          </w:p>
          <w:p w14:paraId="758E510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6370D779">
            <w:pPr>
              <w:spacing w:line="60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通过提问问题，引发学生思考；教师通过案例讲解各个知识点</w:t>
            </w:r>
          </w:p>
        </w:tc>
      </w:tr>
      <w:tr w14:paraId="64FA3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8620" w:type="dxa"/>
            <w:gridSpan w:val="5"/>
            <w:tcBorders>
              <w:tl2br w:val="nil"/>
              <w:tr2bl w:val="nil"/>
            </w:tcBorders>
          </w:tcPr>
          <w:p w14:paraId="6453DCC4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F050428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9F87C33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D2F622B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课</w:t>
            </w:r>
            <w:r>
              <w:rPr>
                <w:rFonts w:hint="eastAsia" w:ascii="宋体" w:hAnsi="宋体" w:cs="宋体"/>
                <w:b/>
                <w:sz w:val="24"/>
                <w:szCs w:val="24"/>
              </w:rPr>
              <w:t>后小结与反思</w:t>
            </w:r>
          </w:p>
          <w:p w14:paraId="5A569967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7C4DF9DF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1338A86A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687133E3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785999FA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70D5FEFE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0CC10761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35A018BF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52EC170B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300BF473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1DAFE40C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  <w:p w14:paraId="7B13B1E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</w:tbl>
    <w:p w14:paraId="60F14CD4"/>
    <w:p w14:paraId="2F73844F"/>
    <w:p w14:paraId="68532503"/>
    <w:p w14:paraId="1E2C2725"/>
    <w:p w14:paraId="39F21F9F"/>
    <w:p w14:paraId="15CA551F"/>
    <w:p w14:paraId="2E081367"/>
    <w:p w14:paraId="4C912950"/>
    <w:p w14:paraId="6D178296"/>
    <w:p w14:paraId="1B89DEF0"/>
    <w:p w14:paraId="54B85BA6"/>
    <w:p w14:paraId="2BB20E8C"/>
    <w:p w14:paraId="05EC92B3"/>
    <w:p w14:paraId="5658F45F"/>
    <w:p w14:paraId="0A6DEE01"/>
    <w:p w14:paraId="78B37BBC"/>
    <w:p w14:paraId="3C0B669A"/>
    <w:p w14:paraId="12019CC0"/>
    <w:p w14:paraId="034FF3BC"/>
    <w:p w14:paraId="51C7D291"/>
    <w:p w14:paraId="6A7C387B"/>
    <w:p w14:paraId="21E90DFD"/>
    <w:p w14:paraId="269FC792"/>
    <w:p w14:paraId="50B96113"/>
    <w:p w14:paraId="5EFB768A"/>
    <w:tbl>
      <w:tblPr>
        <w:tblStyle w:val="7"/>
        <w:tblW w:w="86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3320"/>
        <w:gridCol w:w="1453"/>
        <w:gridCol w:w="1242"/>
        <w:gridCol w:w="1357"/>
      </w:tblGrid>
      <w:tr w14:paraId="54F08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740C16B1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授课科目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27B8FCB1">
            <w:pPr>
              <w:spacing w:line="360" w:lineRule="auto"/>
              <w:jc w:val="center"/>
              <w:rPr>
                <w:rFonts w:hint="default" w:ascii="宋体" w:hAnsi="宋体" w:cs="宋体"/>
                <w:b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短视频拍摄与剪辑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5D20601D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授课教师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0CAFF9E8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乔倩倩</w:t>
            </w:r>
          </w:p>
        </w:tc>
      </w:tr>
      <w:tr w14:paraId="15A77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4DD86111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授课内容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4C1A6B70"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短视频数据分析工具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03298C6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授课班级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1F081BF4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  <w:tr w14:paraId="092AC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754BDD9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授课方法</w:t>
            </w:r>
          </w:p>
        </w:tc>
        <w:tc>
          <w:tcPr>
            <w:tcW w:w="3320" w:type="dxa"/>
            <w:tcBorders>
              <w:tl2br w:val="nil"/>
              <w:tr2bl w:val="nil"/>
            </w:tcBorders>
            <w:vAlign w:val="center"/>
          </w:tcPr>
          <w:p w14:paraId="01506A5A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讲授法、</w:t>
            </w:r>
            <w:r>
              <w:rPr>
                <w:rFonts w:hint="eastAsia" w:ascii="宋体" w:hAnsi="宋体"/>
                <w:sz w:val="24"/>
                <w:szCs w:val="24"/>
              </w:rPr>
              <w:t>案例分析法</w:t>
            </w:r>
          </w:p>
        </w:tc>
        <w:tc>
          <w:tcPr>
            <w:tcW w:w="1453" w:type="dxa"/>
            <w:tcBorders>
              <w:tl2br w:val="nil"/>
              <w:tr2bl w:val="nil"/>
            </w:tcBorders>
            <w:vAlign w:val="center"/>
          </w:tcPr>
          <w:p w14:paraId="370627B0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课时数</w:t>
            </w:r>
          </w:p>
        </w:tc>
        <w:tc>
          <w:tcPr>
            <w:tcW w:w="2599" w:type="dxa"/>
            <w:gridSpan w:val="2"/>
            <w:tcBorders>
              <w:tl2br w:val="nil"/>
              <w:tr2bl w:val="nil"/>
            </w:tcBorders>
            <w:vAlign w:val="center"/>
          </w:tcPr>
          <w:p w14:paraId="38EF3499">
            <w:pPr>
              <w:spacing w:line="360" w:lineRule="auto"/>
              <w:jc w:val="center"/>
              <w:rPr>
                <w:rFonts w:hint="default" w:ascii="宋体" w:hAnsi="宋体" w:cs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2</w:t>
            </w:r>
          </w:p>
        </w:tc>
      </w:tr>
      <w:tr w14:paraId="4F1FDA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57C87DB8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教学目标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66B5B11D">
            <w:pPr>
              <w:pStyle w:val="10"/>
              <w:numPr>
                <w:ilvl w:val="0"/>
                <w:numId w:val="3"/>
              </w:numPr>
              <w:spacing w:line="360" w:lineRule="auto"/>
              <w:ind w:left="0" w:leftChars="0" w:firstLine="240" w:firstLineChars="1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熟练掌握短视频分析工具。</w:t>
            </w:r>
          </w:p>
          <w:p w14:paraId="1268A482">
            <w:pPr>
              <w:pStyle w:val="10"/>
              <w:numPr>
                <w:ilvl w:val="0"/>
                <w:numId w:val="3"/>
              </w:numPr>
              <w:spacing w:line="360" w:lineRule="auto"/>
              <w:ind w:left="0" w:leftChars="0" w:firstLine="240" w:firstLineChars="1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t>能够熟练运用短视频分析工具——抖查查、飞瓜数据、卡思数据、新榜抖音</w:t>
            </w:r>
          </w:p>
        </w:tc>
      </w:tr>
      <w:tr w14:paraId="76BE3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1832BA3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思政要点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13FBD918">
            <w:pPr>
              <w:spacing w:line="360" w:lineRule="auto"/>
              <w:ind w:firstLine="360" w:firstLineChars="15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作为技工院校的学生，要将自己所学的专业做到熟能生巧，争做“大国工匠”。</w:t>
            </w:r>
          </w:p>
        </w:tc>
      </w:tr>
      <w:tr w14:paraId="466F0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  <w:jc w:val="center"/>
        </w:trPr>
        <w:tc>
          <w:tcPr>
            <w:tcW w:w="1248" w:type="dxa"/>
            <w:vMerge w:val="restart"/>
            <w:tcBorders>
              <w:tl2br w:val="nil"/>
              <w:tr2bl w:val="nil"/>
            </w:tcBorders>
            <w:vAlign w:val="center"/>
          </w:tcPr>
          <w:p w14:paraId="78004CD2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重点难点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7D17053A">
            <w:pPr>
              <w:spacing w:line="360" w:lineRule="auto"/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教学重点：</w:t>
            </w:r>
          </w:p>
          <w:p w14:paraId="23C300DC">
            <w:pPr>
              <w:spacing w:line="360" w:lineRule="auto"/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  <w:lang w:eastAsia="zh-CN"/>
              </w:rPr>
            </w:pPr>
          </w:p>
          <w:p w14:paraId="72D3D53A">
            <w:pPr>
              <w:spacing w:line="360" w:lineRule="auto"/>
              <w:ind w:firstLine="480" w:firstLineChars="200"/>
              <w:rPr>
                <w:rFonts w:hint="eastAsia" w:ascii="宋体" w:hAnsi="宋体" w:cs="Courier New" w:eastAsiaTheme="minorEastAsia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</w:rPr>
              <w:t>短视频数据分析工具</w:t>
            </w:r>
            <w:r>
              <w:rPr>
                <w:rFonts w:hint="eastAsia" w:ascii="宋体" w:hAnsi="宋体" w:cs="Courier New"/>
                <w:color w:val="333333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4727C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  <w:jc w:val="center"/>
        </w:trPr>
        <w:tc>
          <w:tcPr>
            <w:tcW w:w="1248" w:type="dxa"/>
            <w:vMerge w:val="continue"/>
            <w:tcBorders>
              <w:tl2br w:val="nil"/>
              <w:tr2bl w:val="nil"/>
            </w:tcBorders>
            <w:vAlign w:val="center"/>
          </w:tcPr>
          <w:p w14:paraId="5B24C0BC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</w:tcPr>
          <w:p w14:paraId="1840EAD1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5C670573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教学难点：</w:t>
            </w:r>
          </w:p>
          <w:p w14:paraId="177DA269">
            <w:pPr>
              <w:spacing w:line="360" w:lineRule="auto"/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</w:pPr>
          </w:p>
          <w:p w14:paraId="6FF6FA9C">
            <w:pPr>
              <w:spacing w:line="360" w:lineRule="auto"/>
              <w:ind w:firstLine="480" w:firstLineChars="200"/>
              <w:rPr>
                <w:rFonts w:hint="default" w:ascii="宋体" w:hAnsi="宋体" w:eastAsia="宋体" w:cs="Courier New"/>
                <w:color w:val="333333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短视频数据分析工具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lang w:val="en-US" w:eastAsia="zh-CN"/>
              </w:rPr>
              <w:t>的运用。</w:t>
            </w:r>
          </w:p>
        </w:tc>
      </w:tr>
      <w:tr w14:paraId="12C89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 w14:paraId="6F287E44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教学准备</w:t>
            </w:r>
          </w:p>
        </w:tc>
        <w:tc>
          <w:tcPr>
            <w:tcW w:w="7372" w:type="dxa"/>
            <w:gridSpan w:val="4"/>
            <w:tcBorders>
              <w:tl2br w:val="nil"/>
              <w:tr2bl w:val="nil"/>
            </w:tcBorders>
            <w:vAlign w:val="center"/>
          </w:tcPr>
          <w:p w14:paraId="5DFE664E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  <w:p w14:paraId="34913B5E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PPT   </w:t>
            </w:r>
          </w:p>
          <w:p w14:paraId="22298097">
            <w:pPr>
              <w:spacing w:line="360" w:lineRule="auto"/>
              <w:ind w:firstLine="480" w:firstLineChars="200"/>
              <w:rPr>
                <w:rFonts w:ascii="宋体" w:hAnsi="宋体" w:cs="宋体"/>
                <w:sz w:val="24"/>
                <w:szCs w:val="24"/>
              </w:rPr>
            </w:pPr>
          </w:p>
        </w:tc>
      </w:tr>
      <w:tr w14:paraId="56842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6C5904B2">
            <w:pPr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教学内容与环节流程设计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60921A98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师生互动</w:t>
            </w:r>
          </w:p>
        </w:tc>
      </w:tr>
      <w:tr w14:paraId="3AE1B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7263" w:type="dxa"/>
            <w:gridSpan w:val="4"/>
            <w:tcBorders>
              <w:tl2br w:val="nil"/>
              <w:tr2bl w:val="nil"/>
            </w:tcBorders>
          </w:tcPr>
          <w:p w14:paraId="3D6A749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一、课前准备</w:t>
            </w:r>
          </w:p>
          <w:p w14:paraId="5674094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学生自主预习本节课内容</w:t>
            </w:r>
          </w:p>
          <w:p w14:paraId="7DA60F5D"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新课讲授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</w:p>
          <w:p w14:paraId="1113E44F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什么是复盘？</w:t>
            </w:r>
          </w:p>
          <w:p w14:paraId="4D331D09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/>
                <w:sz w:val="24"/>
                <w:szCs w:val="24"/>
              </w:rPr>
              <w:drawing>
                <wp:inline distT="0" distB="0" distL="114300" distR="114300">
                  <wp:extent cx="4144645" cy="2329815"/>
                  <wp:effectExtent l="0" t="0" r="8255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4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893F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主流的分析工具主要有抖查查、飞瓜数据、卡思数据、新榜抖音排行榜等。</w:t>
            </w:r>
          </w:p>
          <w:p w14:paraId="3B3AD0E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（一）抖查查</w:t>
            </w:r>
          </w:p>
          <w:p w14:paraId="22B4985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网站链接：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instrText xml:space="preserve"> HYPERLINK "https://www.douchacha.com/home" </w:instrTex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宋体" w:hAnsi="宋体" w:cs="宋体"/>
                <w:sz w:val="24"/>
                <w:szCs w:val="24"/>
                <w:lang w:val="en-US" w:eastAsia="zh-CN"/>
              </w:rPr>
              <w:t>https://www.douchacha.com/home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fldChar w:fldCharType="end"/>
            </w:r>
          </w:p>
          <w:p w14:paraId="2A4397B3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4404360" cy="2898775"/>
                  <wp:effectExtent l="0" t="0" r="15240" b="1587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28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56D5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抖查查</w:t>
            </w:r>
          </w:p>
          <w:p w14:paraId="65B92177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抖查查致力于抖音短视频各方面数据的监测与分析，让用户可以通过直白的数据图表总结出抖音热门视频的内容规律，助力于抖音账号的运营。目前抖查查的主要包括：短视频分析、达人分析、电商分析、品牌推广、数据监测五大模块，还有短视频脚本库、视频去水印、敏感词查询等功能，那究竟要如何使用这几个功能，才能让工具数据为账号运营实现最大化助力呢？</w:t>
            </w:r>
          </w:p>
          <w:p w14:paraId="331AE6C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1、 短视频分析</w:t>
            </w:r>
          </w:p>
          <w:p w14:paraId="31B32628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抖查查在视频分析板块囊括了视频飙升榜、热门视频、热门音乐、热门话题、我关注的素材和打卡地点榜。提供了各类最新热门视频、热门音乐资源及热点话题。</w:t>
            </w:r>
          </w:p>
          <w:p w14:paraId="618011D9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通过视频飙升榜、热门视频可以查看不同维度的当前最热最火视频。</w:t>
            </w:r>
          </w:p>
          <w:p w14:paraId="2117C79D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（1）飙升榜：查看所选时间段内获赞增长最快的视频，帮助追踪热点最新的风向，寻找创作灵感。</w:t>
            </w:r>
          </w:p>
          <w:p w14:paraId="433BCB3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例：如下图，榜单选择12小时，发布时间选择近3天，即表示12小时内，发布时间在近3天的视频获赞增量从大到小榜单展示。</w:t>
            </w:r>
          </w:p>
          <w:p w14:paraId="29E6AD75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4670425" cy="2294890"/>
                  <wp:effectExtent l="0" t="0" r="15875" b="1016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425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AFDB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同时还有更多维度的筛选：视频分类、观众画像、创意视频、带货视频、广告视频、种草视频等。</w:t>
            </w:r>
          </w:p>
          <w:p w14:paraId="1AE57FA4">
            <w:pPr>
              <w:numPr>
                <w:ilvl w:val="0"/>
                <w:numId w:val="4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热门视频：展示当下最热视频，以点赞、评论、分享、综合最多排序，查看不同状态的最火热视频，助力您追踪实时热点。</w:t>
            </w:r>
          </w:p>
          <w:p w14:paraId="0A99AC23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2、达人分析</w:t>
            </w:r>
          </w:p>
          <w:p w14:paraId="7418B2F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抖查查的达人分析板块中包括了：达人榜、MCN机构、纯佣达人榜、星图达人榜。其中达人榜包括涨粉榜、黑马榜、掉分榜、粉丝总榜、蓝V榜、被封达人榜。</w:t>
            </w:r>
          </w:p>
          <w:p w14:paraId="4039A489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（1）涨粉榜</w:t>
            </w:r>
          </w:p>
          <w:p w14:paraId="78ED8B18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①在【涨粉榜】不仅可以直接点击日、周、月榜切换查看时间段内的黑马涨粉账号，还细分了31个行业的涨粉榜，让播主可以根据自己的行业分类，查找自己行业内涨粉最明显的账号，更精准地了解行业的内容风向。</w:t>
            </w:r>
          </w:p>
          <w:p w14:paraId="7CCB9005">
            <w:pPr>
              <w:spacing w:line="360" w:lineRule="auto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三、作业布置：</w:t>
            </w:r>
          </w:p>
          <w:p w14:paraId="2BED0F59">
            <w:p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实操练习</w:t>
            </w:r>
          </w:p>
          <w:p w14:paraId="292B6315">
            <w:pPr>
              <w:spacing w:line="360" w:lineRule="auto"/>
              <w:rPr>
                <w:rFonts w:hint="default"/>
                <w:bCs/>
                <w:sz w:val="24"/>
                <w:szCs w:val="24"/>
                <w:lang w:val="en-US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2A7B8444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048552B6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5EF765E6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18551C48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267EC4DE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0C1337A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2DE48E00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2650BADD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36346C6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042239DB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1E1411A7">
            <w:pPr>
              <w:spacing w:line="360" w:lineRule="auto"/>
              <w:rPr>
                <w:rFonts w:hint="eastAsia" w:ascii="宋体" w:hAnsi="宋体" w:cs="宋体"/>
                <w:sz w:val="24"/>
                <w:szCs w:val="24"/>
              </w:rPr>
            </w:pPr>
          </w:p>
          <w:p w14:paraId="4BA176E9">
            <w:pPr>
              <w:spacing w:line="60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通过提问问题，引发学生思考；教师通过案例讲解各个知识点</w:t>
            </w:r>
          </w:p>
        </w:tc>
      </w:tr>
      <w:tr w14:paraId="08202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8620" w:type="dxa"/>
            <w:gridSpan w:val="5"/>
            <w:tcBorders>
              <w:tl2br w:val="nil"/>
              <w:tr2bl w:val="nil"/>
            </w:tcBorders>
          </w:tcPr>
          <w:p w14:paraId="1F0A7F1B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C561676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8E416FF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513071DF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5403238">
            <w:pPr>
              <w:spacing w:line="360" w:lineRule="auto"/>
              <w:rPr>
                <w:rFonts w:hint="default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6DD01FD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59E249F4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9A0509D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617FA02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5F107FE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02D24FB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CEE132E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56B01F37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8932089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6F5CE141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F129C9B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4EFCA60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5BD54868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0130CD46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16BDECD2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289217C8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55C84DA4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37C2862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35427965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7DA1DD96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</w:pPr>
          </w:p>
          <w:p w14:paraId="455453D4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  <w:lang w:val="en-US" w:eastAsia="zh-CN"/>
              </w:rPr>
              <w:t>课</w:t>
            </w:r>
            <w:r>
              <w:rPr>
                <w:rFonts w:hint="eastAsia" w:ascii="宋体" w:hAnsi="宋体" w:cs="宋体"/>
                <w:b/>
                <w:sz w:val="24"/>
                <w:szCs w:val="24"/>
              </w:rPr>
              <w:t>后小结与反思</w:t>
            </w:r>
          </w:p>
          <w:p w14:paraId="29326C40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71672D0C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159C4B67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43F4F80D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3479A59D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12FC3B2D">
            <w:pPr>
              <w:spacing w:line="360" w:lineRule="auto"/>
              <w:rPr>
                <w:rFonts w:hint="eastAsia" w:ascii="宋体" w:hAnsi="宋体" w:cs="宋体" w:eastAsiaTheme="minorEastAsia"/>
                <w:b/>
                <w:sz w:val="24"/>
                <w:szCs w:val="24"/>
                <w:lang w:eastAsia="zh-CN"/>
              </w:rPr>
            </w:pPr>
          </w:p>
          <w:p w14:paraId="6E233747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130BD6C1">
            <w:pPr>
              <w:spacing w:line="360" w:lineRule="auto"/>
              <w:rPr>
                <w:rFonts w:hint="eastAsia" w:ascii="宋体" w:hAnsi="宋体" w:cs="宋体"/>
                <w:b/>
                <w:sz w:val="24"/>
                <w:szCs w:val="24"/>
              </w:rPr>
            </w:pPr>
          </w:p>
          <w:p w14:paraId="3A998A17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  <w:p w14:paraId="58414325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</w:tr>
    </w:tbl>
    <w:p w14:paraId="003C6C2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51C654"/>
    <w:multiLevelType w:val="singleLevel"/>
    <w:tmpl w:val="9851C6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06659E1"/>
    <w:multiLevelType w:val="singleLevel"/>
    <w:tmpl w:val="C06659E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5298C31"/>
    <w:multiLevelType w:val="singleLevel"/>
    <w:tmpl w:val="E5298C3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155E7BF"/>
    <w:multiLevelType w:val="singleLevel"/>
    <w:tmpl w:val="5155E7BF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kYzdmODNhZmU4YzljZWE2ZDU2NTUzZGE0NDMyYjEifQ=="/>
  </w:docVars>
  <w:rsids>
    <w:rsidRoot w:val="050D5CD1"/>
    <w:rsid w:val="0005277F"/>
    <w:rsid w:val="00081772"/>
    <w:rsid w:val="0017614B"/>
    <w:rsid w:val="00180A75"/>
    <w:rsid w:val="00231385"/>
    <w:rsid w:val="00263B76"/>
    <w:rsid w:val="00287DFD"/>
    <w:rsid w:val="002D098C"/>
    <w:rsid w:val="002D0F6F"/>
    <w:rsid w:val="0033426D"/>
    <w:rsid w:val="00357FEB"/>
    <w:rsid w:val="00365901"/>
    <w:rsid w:val="00394FBA"/>
    <w:rsid w:val="003E059D"/>
    <w:rsid w:val="003E202F"/>
    <w:rsid w:val="00471034"/>
    <w:rsid w:val="00482FCB"/>
    <w:rsid w:val="004919A0"/>
    <w:rsid w:val="004A0526"/>
    <w:rsid w:val="00504383"/>
    <w:rsid w:val="005449A8"/>
    <w:rsid w:val="0056568C"/>
    <w:rsid w:val="005C4FED"/>
    <w:rsid w:val="0061341A"/>
    <w:rsid w:val="00632E74"/>
    <w:rsid w:val="00640EFF"/>
    <w:rsid w:val="006A253C"/>
    <w:rsid w:val="007235EB"/>
    <w:rsid w:val="00734245"/>
    <w:rsid w:val="007B3627"/>
    <w:rsid w:val="007C05B0"/>
    <w:rsid w:val="008015FC"/>
    <w:rsid w:val="0084238D"/>
    <w:rsid w:val="00880852"/>
    <w:rsid w:val="008830A6"/>
    <w:rsid w:val="008B108B"/>
    <w:rsid w:val="009339BE"/>
    <w:rsid w:val="00960158"/>
    <w:rsid w:val="009622D0"/>
    <w:rsid w:val="0099050C"/>
    <w:rsid w:val="009C18EE"/>
    <w:rsid w:val="009D349B"/>
    <w:rsid w:val="00A20FEA"/>
    <w:rsid w:val="00B22CAB"/>
    <w:rsid w:val="00B6215B"/>
    <w:rsid w:val="00BC790B"/>
    <w:rsid w:val="00C030C3"/>
    <w:rsid w:val="00C251FD"/>
    <w:rsid w:val="00C63529"/>
    <w:rsid w:val="00C81BE7"/>
    <w:rsid w:val="00CC1868"/>
    <w:rsid w:val="00D45C09"/>
    <w:rsid w:val="00D933B2"/>
    <w:rsid w:val="00DA12EC"/>
    <w:rsid w:val="00E25CDF"/>
    <w:rsid w:val="00E43C87"/>
    <w:rsid w:val="00E473E7"/>
    <w:rsid w:val="00E939D9"/>
    <w:rsid w:val="00F922AB"/>
    <w:rsid w:val="00FE3FCF"/>
    <w:rsid w:val="00FF376B"/>
    <w:rsid w:val="014979DD"/>
    <w:rsid w:val="03EC09A9"/>
    <w:rsid w:val="040071D2"/>
    <w:rsid w:val="04752904"/>
    <w:rsid w:val="050D5CD1"/>
    <w:rsid w:val="070752C8"/>
    <w:rsid w:val="08841FA7"/>
    <w:rsid w:val="09E928A3"/>
    <w:rsid w:val="09EA1423"/>
    <w:rsid w:val="0A4A4A10"/>
    <w:rsid w:val="0CCA7C1A"/>
    <w:rsid w:val="0E5C56C0"/>
    <w:rsid w:val="0E6E5390"/>
    <w:rsid w:val="123B5BD3"/>
    <w:rsid w:val="1241127F"/>
    <w:rsid w:val="13F056A7"/>
    <w:rsid w:val="16BB51CD"/>
    <w:rsid w:val="1961199A"/>
    <w:rsid w:val="1B9E085A"/>
    <w:rsid w:val="1CDF1AE1"/>
    <w:rsid w:val="1CF04BAC"/>
    <w:rsid w:val="22632922"/>
    <w:rsid w:val="22AE0737"/>
    <w:rsid w:val="22EB3169"/>
    <w:rsid w:val="24A47763"/>
    <w:rsid w:val="26AF4822"/>
    <w:rsid w:val="26BE32F4"/>
    <w:rsid w:val="2C0941ED"/>
    <w:rsid w:val="2CFE134D"/>
    <w:rsid w:val="2F575F37"/>
    <w:rsid w:val="3028168F"/>
    <w:rsid w:val="334E224B"/>
    <w:rsid w:val="34761E05"/>
    <w:rsid w:val="352E7D15"/>
    <w:rsid w:val="37B73E7C"/>
    <w:rsid w:val="37C31508"/>
    <w:rsid w:val="37D14900"/>
    <w:rsid w:val="37ED5C91"/>
    <w:rsid w:val="38AA1D7A"/>
    <w:rsid w:val="39366494"/>
    <w:rsid w:val="39C07DE6"/>
    <w:rsid w:val="3E8B31E8"/>
    <w:rsid w:val="400C35E6"/>
    <w:rsid w:val="45C33DC0"/>
    <w:rsid w:val="46CB01F7"/>
    <w:rsid w:val="4A817E75"/>
    <w:rsid w:val="4B5C280F"/>
    <w:rsid w:val="4B775B45"/>
    <w:rsid w:val="4B7D2DD3"/>
    <w:rsid w:val="4D1C4BCE"/>
    <w:rsid w:val="4D515573"/>
    <w:rsid w:val="4EC923D1"/>
    <w:rsid w:val="50A05B3E"/>
    <w:rsid w:val="532F2ECC"/>
    <w:rsid w:val="5474195F"/>
    <w:rsid w:val="54972517"/>
    <w:rsid w:val="54B716A8"/>
    <w:rsid w:val="55E52099"/>
    <w:rsid w:val="56C05B4D"/>
    <w:rsid w:val="5B393BB3"/>
    <w:rsid w:val="5B3F1A55"/>
    <w:rsid w:val="5D2E1B01"/>
    <w:rsid w:val="5DA261F0"/>
    <w:rsid w:val="60804F01"/>
    <w:rsid w:val="63B20EB8"/>
    <w:rsid w:val="63B91DBD"/>
    <w:rsid w:val="63E23C1F"/>
    <w:rsid w:val="641434DC"/>
    <w:rsid w:val="67254376"/>
    <w:rsid w:val="6927347A"/>
    <w:rsid w:val="6A8A708D"/>
    <w:rsid w:val="6B6E58C8"/>
    <w:rsid w:val="6C1A40CC"/>
    <w:rsid w:val="6C8E1930"/>
    <w:rsid w:val="6E0B3A7C"/>
    <w:rsid w:val="721029A3"/>
    <w:rsid w:val="72434BA8"/>
    <w:rsid w:val="72503A2A"/>
    <w:rsid w:val="76CC47DF"/>
    <w:rsid w:val="787A6603"/>
    <w:rsid w:val="7E7E0942"/>
    <w:rsid w:val="7F11719B"/>
    <w:rsid w:val="7F5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customStyle="1" w:styleId="14">
    <w:name w:val="样式2"/>
    <w:basedOn w:val="15"/>
    <w:qFormat/>
    <w:uiPriority w:val="0"/>
    <w:pPr>
      <w:spacing w:before="100" w:beforeLines="0" w:after="100" w:afterLines="0"/>
      <w:jc w:val="left"/>
    </w:pPr>
    <w:rPr>
      <w:kern w:val="0"/>
    </w:rPr>
  </w:style>
  <w:style w:type="paragraph" w:customStyle="1" w:styleId="15">
    <w:name w:val="标题三"/>
    <w:basedOn w:val="1"/>
    <w:qFormat/>
    <w:uiPriority w:val="0"/>
    <w:pPr>
      <w:topLinePunct/>
      <w:spacing w:beforeLines="50" w:afterLines="50"/>
    </w:pPr>
    <w:rPr>
      <w:rFonts w:eastAsia="黑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988</Words>
  <Characters>1005</Characters>
  <Lines>10</Lines>
  <Paragraphs>2</Paragraphs>
  <TotalTime>0</TotalTime>
  <ScaleCrop>false</ScaleCrop>
  <LinksUpToDate>false</LinksUpToDate>
  <CharactersWithSpaces>1013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2020-09-21T07:06:00Z</dcterms:created>
  <dc:creator>hy贺小胖</dc:creator>
  <cp:lastModifiedBy>QI@O</cp:lastModifiedBy>
  <cp:lastPrinted>2025-04-18T04:56:00Z</cp:lastPrinted>
  <dcterms:modified xsi:type="dcterms:W3CDTF">2025-10-28T01:59:05Z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1A91E532F03847AE8BDBB44D5320ED92_13</vt:lpwstr>
  </property>
  <property fmtid="{D5CDD505-2E9C-101B-9397-08002B2CF9AE}" pid="4" name="KSOTemplateDocerSaveRecord">
    <vt:lpwstr>eyJoZGlkIjoiNzZkYzdmODNhZmU4YzljZWE2ZDU2NTUzZGE0NDMyYjEiLCJ1c2VySWQiOiIyOTgzNTMyOTAifQ==</vt:lpwstr>
  </property>
</Properties>
</file>